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tabs>
          <w:tab w:val="right" w:pos="567"/>
          <w:tab w:val="left" w:pos="2268"/>
        </w:tabs>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i w:val="1"/>
          <w:sz w:val="40"/>
          <w:szCs w:val="40"/>
          <w:rtl w:val="0"/>
        </w:rPr>
        <w:t xml:space="preserve">ANNEX II + III:</w:t>
        <w:tab/>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sz w:val="28"/>
          <w:szCs w:val="28"/>
          <w:rtl w:val="0"/>
        </w:rPr>
        <w:t xml:space="preserve">TECHNICAL SPECIFICATIONS + TECHNICAL OFFER</w:t>
      </w:r>
    </w:p>
    <w:p w:rsidR="00000000" w:rsidDel="00000000" w:rsidP="00000000" w:rsidRDefault="00000000" w:rsidRPr="00000000" w14:paraId="00000002">
      <w:pPr>
        <w:spacing w:after="0" w:before="0" w:lineRule="auto"/>
        <w:ind w:left="567" w:hanging="56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tabs>
          <w:tab w:val="right" w:pos="14459"/>
        </w:tabs>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2"/>
          <w:szCs w:val="22"/>
          <w:rtl w:val="0"/>
        </w:rPr>
        <w:t xml:space="preserve">Contract title: </w:t>
      </w:r>
      <w:r w:rsidDel="00000000" w:rsidR="00000000" w:rsidRPr="00000000">
        <w:rPr>
          <w:rFonts w:ascii="Times New Roman" w:cs="Times New Roman" w:eastAsia="Times New Roman" w:hAnsi="Times New Roman"/>
          <w:b w:val="1"/>
          <w:sz w:val="24"/>
          <w:szCs w:val="24"/>
          <w:rtl w:val="0"/>
        </w:rPr>
        <w:t xml:space="preserve">Supply of vehicles</w:t>
      </w:r>
      <w:r w:rsidDel="00000000" w:rsidR="00000000" w:rsidRPr="00000000">
        <w:rPr>
          <w:rFonts w:ascii="Times New Roman" w:cs="Times New Roman" w:eastAsia="Times New Roman" w:hAnsi="Times New Roman"/>
          <w:b w:val="1"/>
          <w:sz w:val="22"/>
          <w:szCs w:val="22"/>
          <w:rtl w:val="0"/>
        </w:rPr>
        <w:tab/>
      </w:r>
      <w:r w:rsidDel="00000000" w:rsidR="00000000" w:rsidRPr="00000000">
        <w:rPr>
          <w:rtl w:val="0"/>
        </w:rPr>
      </w:r>
    </w:p>
    <w:p w:rsidR="00000000" w:rsidDel="00000000" w:rsidP="00000000" w:rsidRDefault="00000000" w:rsidRPr="00000000" w14:paraId="00000004">
      <w:pPr>
        <w:tabs>
          <w:tab w:val="left" w:pos="7491"/>
        </w:tabs>
        <w:rPr>
          <w:rFonts w:ascii="Times New Roman" w:cs="Times New Roman" w:eastAsia="Times New Roman" w:hAnsi="Times New Roman"/>
          <w:b w:val="1"/>
          <w:color w:val="ff0000"/>
          <w:sz w:val="22"/>
          <w:szCs w:val="22"/>
        </w:rPr>
      </w:pPr>
      <w:r w:rsidDel="00000000" w:rsidR="00000000" w:rsidRPr="00000000">
        <w:rPr>
          <w:rFonts w:ascii="Times New Roman" w:cs="Times New Roman" w:eastAsia="Times New Roman" w:hAnsi="Times New Roman"/>
          <w:b w:val="1"/>
          <w:sz w:val="22"/>
          <w:szCs w:val="22"/>
          <w:rtl w:val="0"/>
        </w:rPr>
        <w:t xml:space="preserve">Publication reference:</w:t>
      </w:r>
      <w:r w:rsidDel="00000000" w:rsidR="00000000" w:rsidRPr="00000000">
        <w:rPr>
          <w:rFonts w:ascii="Times New Roman" w:cs="Times New Roman" w:eastAsia="Times New Roman" w:hAnsi="Times New Roman"/>
          <w:sz w:val="22"/>
          <w:szCs w:val="22"/>
          <w:rtl w:val="0"/>
        </w:rPr>
        <w:t xml:space="preserve"> EuropeAid/2020/418-074/404-83</w:t>
      </w:r>
      <w:r w:rsidDel="00000000" w:rsidR="00000000" w:rsidRPr="00000000">
        <w:rPr>
          <w:rtl w:val="0"/>
        </w:rPr>
      </w:r>
    </w:p>
    <w:p w:rsidR="00000000" w:rsidDel="00000000" w:rsidP="00000000" w:rsidRDefault="00000000" w:rsidRPr="00000000" w14:paraId="00000005">
      <w:pPr>
        <w:tabs>
          <w:tab w:val="left" w:pos="7491"/>
        </w:tabs>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006">
      <w:pPr>
        <w:tabs>
          <w:tab w:val="left" w:pos="7491"/>
        </w:tabs>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007">
      <w:pPr>
        <w:spacing w:after="0" w:before="0" w:lineRule="auto"/>
        <w:ind w:left="567" w:hanging="567"/>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008">
      <w:pPr>
        <w:spacing w:after="0" w:before="0" w:lineRule="auto"/>
        <w:ind w:left="567" w:hanging="567"/>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009">
      <w:pPr>
        <w:spacing w:after="0" w:before="0" w:lineRule="auto"/>
        <w:rPr>
          <w:rFonts w:ascii="Times New Roman" w:cs="Times New Roman" w:eastAsia="Times New Roman" w:hAnsi="Times New Roman"/>
          <w:b w:val="1"/>
          <w:sz w:val="22"/>
          <w:szCs w:val="22"/>
          <w:highlight w:val="yellow"/>
        </w:rPr>
      </w:pPr>
      <w:r w:rsidDel="00000000" w:rsidR="00000000" w:rsidRPr="00000000">
        <w:rPr>
          <w:rtl w:val="0"/>
        </w:rPr>
      </w:r>
    </w:p>
    <w:p w:rsidR="00000000" w:rsidDel="00000000" w:rsidP="00000000" w:rsidRDefault="00000000" w:rsidRPr="00000000" w14:paraId="0000000A">
      <w:pPr>
        <w:spacing w:after="0" w:before="0" w:lineRule="auto"/>
        <w:ind w:left="567" w:hanging="567"/>
        <w:rPr>
          <w:rFonts w:ascii="Times New Roman" w:cs="Times New Roman" w:eastAsia="Times New Roman" w:hAnsi="Times New Roman"/>
          <w:b w:val="1"/>
          <w:sz w:val="22"/>
          <w:szCs w:val="22"/>
          <w:highlight w:val="yellow"/>
        </w:rPr>
      </w:pPr>
      <w:r w:rsidDel="00000000" w:rsidR="00000000" w:rsidRPr="00000000">
        <w:rPr>
          <w:rtl w:val="0"/>
        </w:rPr>
      </w:r>
    </w:p>
    <w:p w:rsidR="00000000" w:rsidDel="00000000" w:rsidP="00000000" w:rsidRDefault="00000000" w:rsidRPr="00000000" w14:paraId="0000000B">
      <w:pPr>
        <w:spacing w:after="0" w:before="0" w:lineRule="auto"/>
        <w:ind w:left="567" w:hanging="567"/>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Columns 1-2 should be completed by the contracting authority</w:t>
      </w:r>
    </w:p>
    <w:p w:rsidR="00000000" w:rsidDel="00000000" w:rsidP="00000000" w:rsidRDefault="00000000" w:rsidRPr="00000000" w14:paraId="0000000C">
      <w:pPr>
        <w:spacing w:after="0" w:before="0" w:lineRule="auto"/>
        <w:ind w:left="567" w:hanging="567"/>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Columns 3-4 should be completed by the tenderer</w:t>
      </w:r>
    </w:p>
    <w:p w:rsidR="00000000" w:rsidDel="00000000" w:rsidP="00000000" w:rsidRDefault="00000000" w:rsidRPr="00000000" w14:paraId="0000000D">
      <w:pPr>
        <w:spacing w:before="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2"/>
          <w:szCs w:val="22"/>
          <w:rtl w:val="0"/>
        </w:rPr>
        <w:t xml:space="preserve">Column 5 is reserved for the evaluation committee </w:t>
      </w:r>
      <w:r w:rsidDel="00000000" w:rsidR="00000000" w:rsidRPr="00000000">
        <w:rPr>
          <w:rtl w:val="0"/>
        </w:rPr>
      </w:r>
    </w:p>
    <w:p w:rsidR="00000000" w:rsidDel="00000000" w:rsidP="00000000" w:rsidRDefault="00000000" w:rsidRPr="00000000" w14:paraId="0000000E">
      <w:pPr>
        <w:ind w:left="567" w:hanging="567"/>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Annex III - the contractor's technical offer</w:t>
      </w:r>
    </w:p>
    <w:p w:rsidR="00000000" w:rsidDel="00000000" w:rsidP="00000000" w:rsidRDefault="00000000" w:rsidRPr="00000000" w14:paraId="0000000F">
      <w:pPr>
        <w:ind w:left="567" w:hanging="567"/>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tenderers are requested to complete the template on the next pages: </w:t>
      </w:r>
    </w:p>
    <w:p w:rsidR="00000000" w:rsidDel="00000000" w:rsidP="00000000" w:rsidRDefault="00000000" w:rsidRPr="00000000" w14:paraId="00000010">
      <w:pPr>
        <w:numPr>
          <w:ilvl w:val="0"/>
          <w:numId w:val="2"/>
        </w:numPr>
        <w:spacing w:after="0" w:before="0" w:lineRule="auto"/>
        <w:ind w:left="737" w:hanging="17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Column 2 is completed by the contracting authority shows the required specifications (not to be modified by the tenderer), </w:t>
      </w:r>
    </w:p>
    <w:p w:rsidR="00000000" w:rsidDel="00000000" w:rsidP="00000000" w:rsidRDefault="00000000" w:rsidRPr="00000000" w14:paraId="00000011">
      <w:pPr>
        <w:numPr>
          <w:ilvl w:val="0"/>
          <w:numId w:val="2"/>
        </w:numPr>
        <w:spacing w:after="0" w:before="0" w:lineRule="auto"/>
        <w:ind w:left="737" w:hanging="17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Column 3 is to be filled in by the tenderer and must detail what is offered (for example the words ‘compliant’ or ‘yes’ are not sufficient)  </w:t>
      </w:r>
    </w:p>
    <w:p w:rsidR="00000000" w:rsidDel="00000000" w:rsidP="00000000" w:rsidRDefault="00000000" w:rsidRPr="00000000" w14:paraId="00000012">
      <w:pPr>
        <w:numPr>
          <w:ilvl w:val="0"/>
          <w:numId w:val="2"/>
        </w:numPr>
        <w:spacing w:after="0" w:before="0" w:lineRule="auto"/>
        <w:ind w:left="737" w:hanging="17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Column 4 allows the tenderer to make comments on its proposed supply and to make eventual references to the documentation</w:t>
      </w:r>
    </w:p>
    <w:p w:rsidR="00000000" w:rsidDel="00000000" w:rsidP="00000000" w:rsidRDefault="00000000" w:rsidRPr="00000000" w14:paraId="00000013">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000000" w:rsidDel="00000000" w:rsidP="00000000" w:rsidRDefault="00000000" w:rsidRPr="00000000" w14:paraId="00000014">
      <w:pPr>
        <w:ind w:left="567" w:hanging="567"/>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offer must be clear enough to allow the evaluators to make an easy comparison between the requested specifications and the offered</w:t>
      </w: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specifications.</w:t>
      </w:r>
    </w:p>
    <w:p w:rsidR="00000000" w:rsidDel="00000000" w:rsidP="00000000" w:rsidRDefault="00000000" w:rsidRPr="00000000" w14:paraId="00000015">
      <w:pPr>
        <w:ind w:left="567" w:hanging="567"/>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6">
      <w:pPr>
        <w:ind w:left="567" w:hanging="567"/>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7">
      <w:pPr>
        <w:ind w:left="567" w:hanging="567"/>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8">
      <w:pPr>
        <w:spacing w:after="0" w:before="0" w:lineRule="auto"/>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A. Supply of vehicles for SCRM</w:t>
      </w:r>
    </w:p>
    <w:p w:rsidR="00000000" w:rsidDel="00000000" w:rsidP="00000000" w:rsidRDefault="00000000" w:rsidRPr="00000000" w14:paraId="00000019">
      <w:pPr>
        <w:ind w:left="567" w:hanging="567"/>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A">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offered vehicle must meet the requirements of the applicable legal regulations of the Republic of Serbia.</w:t>
      </w:r>
    </w:p>
    <w:p w:rsidR="00000000" w:rsidDel="00000000" w:rsidP="00000000" w:rsidRDefault="00000000" w:rsidRPr="00000000" w14:paraId="0000001B">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bidder must offer a new vehicle, which means that the vehicle is unused and shall be registered for the first time after delivery.</w:t>
      </w:r>
    </w:p>
    <w:p w:rsidR="00000000" w:rsidDel="00000000" w:rsidP="00000000" w:rsidRDefault="00000000" w:rsidRPr="00000000" w14:paraId="0000001C">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bidder is obliged to perform a technical inspection and submit a registration sheet and a certificate of conformity as well as any other documentation required for vehicle registration upon delivery of vehicles. </w:t>
      </w:r>
    </w:p>
    <w:p w:rsidR="00000000" w:rsidDel="00000000" w:rsidP="00000000" w:rsidRDefault="00000000" w:rsidRPr="00000000" w14:paraId="0000001D">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procurement of vehicles also includes the procurement of mandatory equipment for that vehicle.</w:t>
      </w:r>
    </w:p>
    <w:p w:rsidR="00000000" w:rsidDel="00000000" w:rsidP="00000000" w:rsidRDefault="00000000" w:rsidRPr="00000000" w14:paraId="0000001E">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bidder will prove the technical characteristics of the supplied vehicle with a catalogue, prospectus or some other document in the Serbian language, which must contain proof for all requirements stated in the technical specification.</w:t>
      </w:r>
    </w:p>
    <w:p w:rsidR="00000000" w:rsidDel="00000000" w:rsidP="00000000" w:rsidRDefault="00000000" w:rsidRPr="00000000" w14:paraId="0000001F">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bidder is required to submit a list of authorized services for the territory of the Republic of Serbia.</w:t>
      </w:r>
    </w:p>
    <w:p w:rsidR="00000000" w:rsidDel="00000000" w:rsidP="00000000" w:rsidRDefault="00000000" w:rsidRPr="00000000" w14:paraId="00000020">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1">
      <w:pPr>
        <w:ind w:left="567" w:hanging="567"/>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2">
      <w:pPr>
        <w:ind w:left="567" w:hanging="567"/>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3">
      <w:pPr>
        <w:ind w:left="567" w:hanging="567"/>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4">
      <w:pPr>
        <w:ind w:left="567" w:hanging="567"/>
        <w:jc w:val="both"/>
        <w:rPr>
          <w:rFonts w:ascii="Times New Roman" w:cs="Times New Roman" w:eastAsia="Times New Roman" w:hAnsi="Times New Roman"/>
          <w:b w:val="1"/>
          <w:sz w:val="22"/>
          <w:szCs w:val="22"/>
        </w:rPr>
      </w:pPr>
      <w:r w:rsidDel="00000000" w:rsidR="00000000" w:rsidRPr="00000000">
        <w:br w:type="page"/>
      </w:r>
      <w:r w:rsidDel="00000000" w:rsidR="00000000" w:rsidRPr="00000000">
        <w:rPr>
          <w:rtl w:val="0"/>
        </w:rPr>
      </w:r>
    </w:p>
    <w:tbl>
      <w:tblPr>
        <w:tblStyle w:val="Table1"/>
        <w:tblW w:w="1488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34"/>
        <w:gridCol w:w="4678"/>
        <w:gridCol w:w="4253"/>
        <w:gridCol w:w="2835"/>
        <w:gridCol w:w="1984"/>
        <w:tblGridChange w:id="0">
          <w:tblGrid>
            <w:gridCol w:w="1134"/>
            <w:gridCol w:w="4678"/>
            <w:gridCol w:w="4253"/>
            <w:gridCol w:w="2835"/>
            <w:gridCol w:w="1984"/>
          </w:tblGrid>
        </w:tblGridChange>
      </w:tblGrid>
      <w:tr>
        <w:trPr>
          <w:cantSplit w:val="0"/>
          <w:trHeight w:val="879" w:hRule="atLeast"/>
          <w:tblHeader w:val="0"/>
        </w:trPr>
        <w:tc>
          <w:tcPr>
            <w:shd w:fill="f2f2f2" w:val="clear"/>
          </w:tcPr>
          <w:p w:rsidR="00000000" w:rsidDel="00000000" w:rsidP="00000000" w:rsidRDefault="00000000" w:rsidRPr="00000000" w14:paraId="00000025">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w:t>
            </w:r>
          </w:p>
          <w:p w:rsidR="00000000" w:rsidDel="00000000" w:rsidP="00000000" w:rsidRDefault="00000000" w:rsidRPr="00000000" w14:paraId="00000026">
            <w:pPr>
              <w:jc w:val="center"/>
              <w:rPr>
                <w:rFonts w:ascii="Times New Roman" w:cs="Times New Roman" w:eastAsia="Times New Roman" w:hAnsi="Times New Roman"/>
                <w:b w:val="1"/>
                <w:sz w:val="22"/>
                <w:szCs w:val="22"/>
                <w:highlight w:val="green"/>
              </w:rPr>
            </w:pPr>
            <w:r w:rsidDel="00000000" w:rsidR="00000000" w:rsidRPr="00000000">
              <w:rPr>
                <w:rFonts w:ascii="Times New Roman" w:cs="Times New Roman" w:eastAsia="Times New Roman" w:hAnsi="Times New Roman"/>
                <w:b w:val="1"/>
                <w:sz w:val="22"/>
                <w:szCs w:val="22"/>
                <w:rtl w:val="0"/>
              </w:rPr>
              <w:t xml:space="preserve">Item number</w:t>
            </w:r>
            <w:r w:rsidDel="00000000" w:rsidR="00000000" w:rsidRPr="00000000">
              <w:rPr>
                <w:rtl w:val="0"/>
              </w:rPr>
            </w:r>
          </w:p>
        </w:tc>
        <w:tc>
          <w:tcPr>
            <w:shd w:fill="f2f2f2" w:val="clear"/>
          </w:tcPr>
          <w:p w:rsidR="00000000" w:rsidDel="00000000" w:rsidP="00000000" w:rsidRDefault="00000000" w:rsidRPr="00000000" w14:paraId="00000027">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w:t>
            </w:r>
          </w:p>
          <w:p w:rsidR="00000000" w:rsidDel="00000000" w:rsidP="00000000" w:rsidRDefault="00000000" w:rsidRPr="00000000" w14:paraId="00000028">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Specifications required</w:t>
            </w:r>
          </w:p>
        </w:tc>
        <w:tc>
          <w:tcPr>
            <w:shd w:fill="f2f2f2" w:val="clear"/>
          </w:tcPr>
          <w:p w:rsidR="00000000" w:rsidDel="00000000" w:rsidP="00000000" w:rsidRDefault="00000000" w:rsidRPr="00000000" w14:paraId="00000029">
            <w:pPr>
              <w:tabs>
                <w:tab w:val="left" w:pos="729"/>
              </w:tabs>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3.</w:t>
            </w:r>
          </w:p>
          <w:p w:rsidR="00000000" w:rsidDel="00000000" w:rsidP="00000000" w:rsidRDefault="00000000" w:rsidRPr="00000000" w14:paraId="0000002A">
            <w:pPr>
              <w:tabs>
                <w:tab w:val="left" w:pos="729"/>
              </w:tabs>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Specifications offered</w:t>
            </w:r>
          </w:p>
        </w:tc>
        <w:tc>
          <w:tcPr>
            <w:shd w:fill="f2f2f2" w:val="clear"/>
          </w:tcPr>
          <w:p w:rsidR="00000000" w:rsidDel="00000000" w:rsidP="00000000" w:rsidRDefault="00000000" w:rsidRPr="00000000" w14:paraId="0000002B">
            <w:pPr>
              <w:tabs>
                <w:tab w:val="left" w:pos="729"/>
              </w:tabs>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4. </w:t>
            </w:r>
          </w:p>
          <w:p w:rsidR="00000000" w:rsidDel="00000000" w:rsidP="00000000" w:rsidRDefault="00000000" w:rsidRPr="00000000" w14:paraId="0000002C">
            <w:pPr>
              <w:tabs>
                <w:tab w:val="left" w:pos="729"/>
              </w:tabs>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Notes, remarks, </w:t>
              <w:br w:type="textWrapping"/>
              <w:t xml:space="preserve">ref to documentation</w:t>
            </w:r>
          </w:p>
        </w:tc>
        <w:tc>
          <w:tcPr>
            <w:shd w:fill="f2f2f2" w:val="clear"/>
          </w:tcPr>
          <w:p w:rsidR="00000000" w:rsidDel="00000000" w:rsidP="00000000" w:rsidRDefault="00000000" w:rsidRPr="00000000" w14:paraId="0000002D">
            <w:pPr>
              <w:tabs>
                <w:tab w:val="left" w:pos="729"/>
              </w:tabs>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5.</w:t>
            </w:r>
          </w:p>
          <w:p w:rsidR="00000000" w:rsidDel="00000000" w:rsidP="00000000" w:rsidRDefault="00000000" w:rsidRPr="00000000" w14:paraId="0000002E">
            <w:pPr>
              <w:tabs>
                <w:tab w:val="left" w:pos="729"/>
              </w:tabs>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Evaluation committee’s notes </w:t>
            </w:r>
          </w:p>
        </w:tc>
      </w:tr>
      <w:tr>
        <w:trPr>
          <w:cantSplit w:val="0"/>
          <w:tblHeader w:val="0"/>
        </w:trPr>
        <w:tc>
          <w:tcPr/>
          <w:p w:rsidR="00000000" w:rsidDel="00000000" w:rsidP="00000000" w:rsidRDefault="00000000" w:rsidRPr="00000000" w14:paraId="0000002F">
            <w:pPr>
              <w:rPr>
                <w:rFonts w:ascii="Times New Roman" w:cs="Times New Roman" w:eastAsia="Times New Roman" w:hAnsi="Times New Roman"/>
                <w:b w:val="1"/>
                <w:highlight w:val="green"/>
              </w:rPr>
            </w:pPr>
            <w:r w:rsidDel="00000000" w:rsidR="00000000" w:rsidRPr="00000000">
              <w:rPr>
                <w:rFonts w:ascii="Times New Roman" w:cs="Times New Roman" w:eastAsia="Times New Roman" w:hAnsi="Times New Roman"/>
                <w:b w:val="1"/>
                <w:rtl w:val="0"/>
              </w:rPr>
              <w:t xml:space="preserve">1</w:t>
            </w:r>
            <w:r w:rsidDel="00000000" w:rsidR="00000000" w:rsidRPr="00000000">
              <w:rPr>
                <w:rtl w:val="0"/>
              </w:rPr>
            </w:r>
          </w:p>
        </w:tc>
        <w:tc>
          <w:tcPr>
            <w:vAlign w:val="center"/>
          </w:tcPr>
          <w:p w:rsidR="00000000" w:rsidDel="00000000" w:rsidP="00000000" w:rsidRDefault="00000000" w:rsidRPr="00000000" w14:paraId="00000030">
            <w:pPr>
              <w:spacing w:after="0" w:before="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Light duty truck </w:t>
            </w:r>
          </w:p>
          <w:p w:rsidR="00000000" w:rsidDel="00000000" w:rsidP="00000000" w:rsidRDefault="00000000" w:rsidRPr="00000000" w14:paraId="00000031">
            <w:pPr>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Qty: 3</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General: </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Vehicle Condition: Brand New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Year of manufacture: 2020 or later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Vehicle Type: Truck with double cab and box</w:t>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Type of engine: Diesel</w:t>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Euro norm: 6.2</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Vehicle Color: White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Number of doors: 4 Doors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Number of Seats: 5-Seater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Mass: max 3300 kg</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Load capacity: min 900 kg</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Engine and Transmission: </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Transmission: manual or automatic, 6 gears</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Wheel drive: Selective 4x2 - rear / 4x4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No. of Cylinders/valves: 4/8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Engine Capacity: 1900-2000 ccm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sz w:val="22"/>
                <w:szCs w:val="22"/>
                <w:rtl w:val="0"/>
              </w:rPr>
              <w:t xml:space="preserve">Fuel Capacity: min 60 l</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Fuel type: Diesel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Max. engine power: 110-130 kw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Dimensions: </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Wheelbase (mm): Min. 3220 mm </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Tire rims: Minimum R16, steel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Length: max. 5300 mm</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Width with side mirrors: max 1900 mm</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Width: max 1820 mm</w:t>
            </w:r>
            <w:r w:rsidDel="00000000" w:rsidR="00000000" w:rsidRPr="00000000">
              <w:rPr>
                <w:rtl w:val="0"/>
              </w:rPr>
            </w:r>
          </w:p>
        </w:tc>
        <w:tc>
          <w:tcPr>
            <w:vAlign w:val="center"/>
          </w:tcPr>
          <w:p w:rsidR="00000000" w:rsidDel="00000000" w:rsidP="00000000" w:rsidRDefault="00000000" w:rsidRPr="00000000" w14:paraId="0000004E">
            <w:pPr>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4F">
            <w:pPr>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50">
            <w:pPr>
              <w:tabs>
                <w:tab w:val="left" w:pos="729"/>
              </w:tabs>
              <w:jc w:val="center"/>
              <w:rPr>
                <w:rFonts w:ascii="Times New Roman" w:cs="Times New Roman" w:eastAsia="Times New Roman" w:hAnsi="Times New Roman"/>
                <w:b w:val="1"/>
              </w:rPr>
            </w:pPr>
            <w:r w:rsidDel="00000000" w:rsidR="00000000" w:rsidRPr="00000000">
              <w:rPr>
                <w:rtl w:val="0"/>
              </w:rPr>
            </w:r>
          </w:p>
        </w:tc>
      </w:tr>
      <w:tr>
        <w:trPr>
          <w:cantSplit w:val="0"/>
          <w:tblHeader w:val="0"/>
        </w:trPr>
        <w:tc>
          <w:tcPr/>
          <w:p w:rsidR="00000000" w:rsidDel="00000000" w:rsidP="00000000" w:rsidRDefault="00000000" w:rsidRPr="00000000" w14:paraId="00000051">
            <w:pPr>
              <w:rPr>
                <w:rFonts w:ascii="Times New Roman" w:cs="Times New Roman" w:eastAsia="Times New Roman" w:hAnsi="Times New Roman"/>
                <w:b w:val="1"/>
              </w:rPr>
            </w:pPr>
            <w:r w:rsidDel="00000000" w:rsidR="00000000" w:rsidRPr="00000000">
              <w:rPr>
                <w:rtl w:val="0"/>
              </w:rPr>
            </w:r>
          </w:p>
        </w:tc>
        <w:tc>
          <w:tcPr>
            <w:vAlign w:val="center"/>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Exterior:</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Side mirrors, electro adjustable and heated</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Front Windshield, heated</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Lights, halogen and day lights</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Tow hook, removable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Undercarriage - engine, gearbox and tank protection cover</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Differential – rear lock</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Tonneau cover – hard cover in vehicle color</w:t>
            </w:r>
            <w:r w:rsidDel="00000000" w:rsidR="00000000" w:rsidRPr="00000000">
              <w:rPr>
                <w:rFonts w:ascii="Times New Roman" w:cs="Times New Roman" w:eastAsia="Times New Roman" w:hAnsi="Times New Roman"/>
                <w:sz w:val="22"/>
                <w:szCs w:val="22"/>
                <w:rtl w:val="0"/>
              </w:rPr>
              <w:t xml:space="preserve"> with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installation and </w:t>
            </w:r>
            <w:r w:rsidDel="00000000" w:rsidR="00000000" w:rsidRPr="00000000">
              <w:rPr>
                <w:rFonts w:ascii="Times New Roman" w:cs="Times New Roman" w:eastAsia="Times New Roman" w:hAnsi="Times New Roman"/>
                <w:sz w:val="22"/>
                <w:szCs w:val="22"/>
                <w:rtl w:val="0"/>
              </w:rPr>
              <w:t xml:space="preserve">attestation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Car Trunk:</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storage trunk – plastic protection cover for sides and floor</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trunk bed length – 1500 – 1600 mm</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trunk bed width - 1500 – 1600 mm</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width between wheel arches – min 1130 mm</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trunk bed height – min 500 mm</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Interior:</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Driver seat, adjustable front-to-back and height</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Front passenger seat, adjustable front to back</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Air condition, manual or automatic</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Drivers wheel, electro servo with adjustable height</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Seat belt: Front and rear</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Air bag: Front Driver and passenger, side in front seats, side curtain airbags,  </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6E">
            <w:pPr>
              <w:spacing w:after="0" w:before="0" w:lineRule="auto"/>
              <w:rPr>
                <w:rFonts w:ascii="Times New Roman" w:cs="Times New Roman" w:eastAsia="Times New Roman" w:hAnsi="Times New Roman"/>
                <w:b w:val="1"/>
                <w:color w:val="000000"/>
                <w:sz w:val="24"/>
                <w:szCs w:val="24"/>
              </w:rPr>
            </w:pPr>
            <w:r w:rsidDel="00000000" w:rsidR="00000000" w:rsidRPr="00000000">
              <w:rPr>
                <w:rtl w:val="0"/>
              </w:rPr>
            </w:r>
          </w:p>
        </w:tc>
        <w:tc>
          <w:tcPr>
            <w:vAlign w:val="center"/>
          </w:tcPr>
          <w:p w:rsidR="00000000" w:rsidDel="00000000" w:rsidP="00000000" w:rsidRDefault="00000000" w:rsidRPr="00000000" w14:paraId="0000006F">
            <w:pPr>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70">
            <w:pPr>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71">
            <w:pPr>
              <w:tabs>
                <w:tab w:val="left" w:pos="729"/>
              </w:tabs>
              <w:jc w:val="center"/>
              <w:rPr>
                <w:rFonts w:ascii="Times New Roman" w:cs="Times New Roman" w:eastAsia="Times New Roman" w:hAnsi="Times New Roman"/>
                <w:b w:val="1"/>
              </w:rPr>
            </w:pPr>
            <w:r w:rsidDel="00000000" w:rsidR="00000000" w:rsidRPr="00000000">
              <w:rPr>
                <w:rtl w:val="0"/>
              </w:rPr>
            </w:r>
          </w:p>
        </w:tc>
      </w:tr>
      <w:tr>
        <w:trPr>
          <w:cantSplit w:val="0"/>
          <w:tblHeader w:val="0"/>
        </w:trPr>
        <w:tc>
          <w:tcPr/>
          <w:p w:rsidR="00000000" w:rsidDel="00000000" w:rsidP="00000000" w:rsidRDefault="00000000" w:rsidRPr="00000000" w14:paraId="00000072">
            <w:pPr>
              <w:rPr>
                <w:rFonts w:ascii="Times New Roman" w:cs="Times New Roman" w:eastAsia="Times New Roman" w:hAnsi="Times New Roman"/>
                <w:b w:val="1"/>
              </w:rPr>
            </w:pPr>
            <w:r w:rsidDel="00000000" w:rsidR="00000000" w:rsidRPr="00000000">
              <w:rPr>
                <w:rtl w:val="0"/>
              </w:rPr>
            </w:r>
          </w:p>
        </w:tc>
        <w:tc>
          <w:tcPr>
            <w:vAlign w:val="center"/>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Vehicles tools and accessories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One standard Spare Wheel + standard tools </w:t>
            </w: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Fire extinguisher S2</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Mandatory equipment for vehicles category N1 as provided by the legislation of the Republic of Serbia.</w:t>
            </w: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Security and Safety:</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Brake: Front disks, Rear drum</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*ABS+EDB (Anti-lock Braking System + Electronic Brakeforce Distribution system)</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*ESP (Electronic Stability Programme)</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*TC (ASR+MSR) - traction control (anti-slip regulation + motor slip regulation)</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*HLA - Hill Launch Assist</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*HDS - Hill Descent Assist</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*LKA - Lane keeping assistance</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*CMS - Crash Management System</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Speed control – cruise control and limiter</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Media:</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Radio with USB and Bluetooth connection</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Speakers – Min. 4</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Controls on steering wheel – for audio and board computer.</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F">
            <w:pPr>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90">
            <w:pPr>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91">
            <w:pPr>
              <w:tabs>
                <w:tab w:val="left" w:pos="729"/>
              </w:tabs>
              <w:jc w:val="center"/>
              <w:rPr>
                <w:rFonts w:ascii="Times New Roman" w:cs="Times New Roman" w:eastAsia="Times New Roman" w:hAnsi="Times New Roman"/>
                <w:b w:val="1"/>
              </w:rPr>
            </w:pPr>
            <w:r w:rsidDel="00000000" w:rsidR="00000000" w:rsidRPr="00000000">
              <w:rPr>
                <w:rtl w:val="0"/>
              </w:rPr>
            </w:r>
          </w:p>
        </w:tc>
      </w:tr>
      <w:tr>
        <w:trPr>
          <w:cantSplit w:val="0"/>
          <w:tblHeader w:val="0"/>
        </w:trPr>
        <w:tc>
          <w:tcPr/>
          <w:p w:rsidR="00000000" w:rsidDel="00000000" w:rsidP="00000000" w:rsidRDefault="00000000" w:rsidRPr="00000000" w14:paraId="00000092">
            <w:pPr>
              <w:rPr>
                <w:rFonts w:ascii="Times New Roman" w:cs="Times New Roman" w:eastAsia="Times New Roman" w:hAnsi="Times New Roman"/>
                <w:b w:val="1"/>
              </w:rPr>
            </w:pPr>
            <w:r w:rsidDel="00000000" w:rsidR="00000000" w:rsidRPr="00000000">
              <w:rPr>
                <w:rtl w:val="0"/>
              </w:rPr>
            </w:r>
          </w:p>
        </w:tc>
        <w:tc>
          <w:tcPr>
            <w:vAlign w:val="center"/>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Warranty:</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Warranty minimum: </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Full warranty of 2 years/24 months/ without limitation in kilometers</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Warranty against corrosion – 12 years</w:t>
            </w:r>
          </w:p>
        </w:tc>
        <w:tc>
          <w:tcPr>
            <w:vAlign w:val="center"/>
          </w:tcPr>
          <w:p w:rsidR="00000000" w:rsidDel="00000000" w:rsidP="00000000" w:rsidRDefault="00000000" w:rsidRPr="00000000" w14:paraId="00000098">
            <w:pPr>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99">
            <w:pPr>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9A">
            <w:pPr>
              <w:tabs>
                <w:tab w:val="left" w:pos="729"/>
              </w:tabs>
              <w:jc w:val="center"/>
              <w:rPr>
                <w:rFonts w:ascii="Times New Roman" w:cs="Times New Roman" w:eastAsia="Times New Roman" w:hAnsi="Times New Roman"/>
                <w:b w:val="1"/>
              </w:rPr>
            </w:pPr>
            <w:r w:rsidDel="00000000" w:rsidR="00000000" w:rsidRPr="00000000">
              <w:rPr>
                <w:rtl w:val="0"/>
              </w:rPr>
            </w:r>
          </w:p>
        </w:tc>
      </w:tr>
    </w:tbl>
    <w:p w:rsidR="00000000" w:rsidDel="00000000" w:rsidP="00000000" w:rsidRDefault="00000000" w:rsidRPr="00000000" w14:paraId="0000009B">
      <w:pPr>
        <w:spacing w:after="0" w:before="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C">
      <w:pPr>
        <w:rPr>
          <w:rFonts w:ascii="Times New Roman" w:cs="Times New Roman" w:eastAsia="Times New Roman" w:hAnsi="Times New Roman"/>
          <w:sz w:val="22"/>
          <w:szCs w:val="22"/>
        </w:rPr>
      </w:pPr>
      <w:r w:rsidDel="00000000" w:rsidR="00000000" w:rsidRPr="00000000">
        <w:rPr>
          <w:rtl w:val="0"/>
        </w:rPr>
      </w:r>
    </w:p>
    <w:sectPr>
      <w:footerReference r:id="rId7" w:type="default"/>
      <w:footerReference r:id="rId8" w:type="first"/>
      <w:pgSz w:h="11906" w:w="16838" w:orient="landscape"/>
      <w:pgMar w:bottom="1418" w:top="851" w:left="1134" w:right="1134"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right" w:pos="14317"/>
      </w:tabs>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August 2020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right" w:pos="14317"/>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c4f_annexiitechspeciiitechoffer_en.doc</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right" w:pos="14317"/>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August 2020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 w:val="right" w:pos="14317"/>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c4f_annexiitechspeciiitechoffer_en.doc</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37" w:hanging="17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right" w:pos="567"/>
      </w:tabs>
      <w:spacing w:after="240" w:before="240" w:lineRule="auto"/>
      <w:ind w:left="567" w:hanging="567"/>
      <w:jc w:val="both"/>
    </w:pPr>
    <w:rPr>
      <w:b w:val="1"/>
    </w:rPr>
  </w:style>
  <w:style w:type="paragraph" w:styleId="Heading2">
    <w:name w:val="heading 2"/>
    <w:basedOn w:val="Normal"/>
    <w:next w:val="Normal"/>
    <w:pPr>
      <w:keepNext w:val="1"/>
    </w:pPr>
    <w:rPr/>
  </w:style>
  <w:style w:type="paragraph" w:styleId="Heading3">
    <w:name w:val="heading 3"/>
    <w:basedOn w:val="Normal"/>
    <w:next w:val="Normal"/>
    <w:pPr>
      <w:keepNext w:val="1"/>
    </w:pPr>
    <w:rPr/>
  </w:style>
  <w:style w:type="paragraph" w:styleId="Heading4">
    <w:name w:val="heading 4"/>
    <w:basedOn w:val="Normal"/>
    <w:next w:val="Normal"/>
    <w:pPr>
      <w:keepNext w:val="1"/>
      <w:spacing w:after="60" w:before="240" w:lineRule="auto"/>
      <w:ind w:left="864" w:hanging="864"/>
    </w:pPr>
    <w:rPr>
      <w:b w:val="1"/>
      <w:sz w:val="24"/>
      <w:szCs w:val="24"/>
    </w:rPr>
  </w:style>
  <w:style w:type="paragraph" w:styleId="Heading5">
    <w:name w:val="heading 5"/>
    <w:basedOn w:val="Normal"/>
    <w:next w:val="Normal"/>
    <w:pPr>
      <w:spacing w:after="60" w:before="240" w:lineRule="auto"/>
      <w:ind w:left="1008" w:hanging="1008"/>
    </w:pPr>
    <w:rPr>
      <w:sz w:val="22"/>
      <w:szCs w:val="22"/>
    </w:rPr>
  </w:style>
  <w:style w:type="paragraph" w:styleId="Heading6">
    <w:name w:val="heading 6"/>
    <w:basedOn w:val="Normal"/>
    <w:next w:val="Normal"/>
    <w:pPr>
      <w:spacing w:after="60" w:before="240" w:lineRule="auto"/>
      <w:ind w:left="1152" w:hanging="1152"/>
    </w:pPr>
    <w:rPr>
      <w:i w:val="1"/>
      <w:sz w:val="22"/>
      <w:szCs w:val="22"/>
    </w:rPr>
  </w:style>
  <w:style w:type="paragraph" w:styleId="Title">
    <w:name w:val="Title"/>
    <w:basedOn w:val="Normal"/>
    <w:next w:val="Normal"/>
    <w:pPr>
      <w:jc w:val="center"/>
    </w:pPr>
    <w:rPr>
      <w:b w:val="1"/>
      <w:sz w:val="28"/>
      <w:szCs w:val="28"/>
    </w:rPr>
  </w:style>
  <w:style w:type="paragraph" w:styleId="Normal" w:default="1">
    <w:name w:val="Normal"/>
    <w:qFormat w:val="1"/>
    <w:rsid w:val="00301346"/>
    <w:pPr>
      <w:spacing w:after="120" w:before="120"/>
    </w:pPr>
    <w:rPr>
      <w:rFonts w:ascii="Arial" w:hAnsi="Arial"/>
      <w:snapToGrid w:val="0"/>
      <w:lang w:val="sv-SE"/>
    </w:rPr>
  </w:style>
  <w:style w:type="paragraph" w:styleId="Heading1">
    <w:name w:val="heading 1"/>
    <w:basedOn w:val="Normal"/>
    <w:next w:val="Normal"/>
    <w:qFormat w:val="1"/>
    <w:rsid w:val="00BA5D93"/>
    <w:pPr>
      <w:keepNext w:val="1"/>
      <w:numPr>
        <w:numId w:val="2"/>
      </w:numPr>
      <w:tabs>
        <w:tab w:val="right" w:pos="567"/>
      </w:tabs>
      <w:spacing w:after="240" w:before="240"/>
      <w:jc w:val="both"/>
      <w:outlineLvl w:val="0"/>
    </w:pPr>
    <w:rPr>
      <w:b w:val="1"/>
      <w:lang w:val="fr-BE"/>
    </w:rPr>
  </w:style>
  <w:style w:type="paragraph" w:styleId="Heading2">
    <w:name w:val="heading 2"/>
    <w:basedOn w:val="Normal"/>
    <w:next w:val="Normal"/>
    <w:qFormat w:val="1"/>
    <w:rsid w:val="00BA5D93"/>
    <w:pPr>
      <w:keepNext w:val="1"/>
      <w:outlineLvl w:val="1"/>
    </w:pPr>
    <w:rPr>
      <w:lang w:val="fr-BE"/>
    </w:rPr>
  </w:style>
  <w:style w:type="paragraph" w:styleId="Heading3">
    <w:name w:val="heading 3"/>
    <w:basedOn w:val="Normal"/>
    <w:next w:val="Normal"/>
    <w:qFormat w:val="1"/>
    <w:rsid w:val="00BA5D93"/>
    <w:pPr>
      <w:keepNext w:val="1"/>
      <w:framePr w:lines="0" w:vSpace="181" w:hSpace="181" w:wrap="auto" w:hAnchor="text" w:vAnchor="text" w:y="1"/>
      <w:outlineLvl w:val="2"/>
    </w:pPr>
    <w:rPr>
      <w:lang w:val="en-GB"/>
    </w:rPr>
  </w:style>
  <w:style w:type="paragraph" w:styleId="Heading4">
    <w:name w:val="heading 4"/>
    <w:basedOn w:val="Normal"/>
    <w:next w:val="Normal"/>
    <w:qFormat w:val="1"/>
    <w:rsid w:val="00BA5D93"/>
    <w:pPr>
      <w:keepNext w:val="1"/>
      <w:numPr>
        <w:ilvl w:val="3"/>
        <w:numId w:val="2"/>
      </w:numPr>
      <w:spacing w:after="60" w:before="240"/>
      <w:outlineLvl w:val="3"/>
    </w:pPr>
    <w:rPr>
      <w:b w:val="1"/>
      <w:sz w:val="24"/>
    </w:rPr>
  </w:style>
  <w:style w:type="paragraph" w:styleId="Heading5">
    <w:name w:val="heading 5"/>
    <w:basedOn w:val="Normal"/>
    <w:next w:val="Normal"/>
    <w:qFormat w:val="1"/>
    <w:rsid w:val="00BA5D93"/>
    <w:pPr>
      <w:numPr>
        <w:ilvl w:val="4"/>
        <w:numId w:val="2"/>
      </w:numPr>
      <w:spacing w:after="60" w:before="240"/>
      <w:outlineLvl w:val="4"/>
    </w:pPr>
    <w:rPr>
      <w:sz w:val="22"/>
    </w:rPr>
  </w:style>
  <w:style w:type="paragraph" w:styleId="Heading6">
    <w:name w:val="heading 6"/>
    <w:basedOn w:val="Normal"/>
    <w:next w:val="Normal"/>
    <w:qFormat w:val="1"/>
    <w:rsid w:val="00BA5D93"/>
    <w:pPr>
      <w:numPr>
        <w:ilvl w:val="5"/>
        <w:numId w:val="2"/>
      </w:numPr>
      <w:tabs>
        <w:tab w:val="clear" w:pos="360"/>
        <w:tab w:val="num" w:pos="1152"/>
      </w:tabs>
      <w:spacing w:after="60" w:before="240"/>
      <w:ind w:left="1152" w:hanging="1152"/>
      <w:outlineLvl w:val="5"/>
    </w:pPr>
    <w:rPr>
      <w:i w:val="1"/>
      <w:sz w:val="22"/>
    </w:rPr>
  </w:style>
  <w:style w:type="paragraph" w:styleId="Heading7">
    <w:name w:val="heading 7"/>
    <w:basedOn w:val="Normal"/>
    <w:next w:val="Normal"/>
    <w:qFormat w:val="1"/>
    <w:rsid w:val="00BA5D93"/>
    <w:pPr>
      <w:numPr>
        <w:ilvl w:val="6"/>
        <w:numId w:val="2"/>
      </w:numPr>
      <w:spacing w:after="60" w:before="240"/>
      <w:outlineLvl w:val="6"/>
    </w:pPr>
  </w:style>
  <w:style w:type="paragraph" w:styleId="Heading8">
    <w:name w:val="heading 8"/>
    <w:basedOn w:val="Normal"/>
    <w:next w:val="Normal"/>
    <w:qFormat w:val="1"/>
    <w:rsid w:val="00BA5D93"/>
    <w:pPr>
      <w:numPr>
        <w:ilvl w:val="7"/>
        <w:numId w:val="2"/>
      </w:numPr>
      <w:spacing w:after="60" w:before="240"/>
      <w:outlineLvl w:val="7"/>
    </w:pPr>
    <w:rPr>
      <w:i w:val="1"/>
    </w:rPr>
  </w:style>
  <w:style w:type="paragraph" w:styleId="Heading9">
    <w:name w:val="heading 9"/>
    <w:basedOn w:val="Normal"/>
    <w:next w:val="Normal"/>
    <w:qFormat w:val="1"/>
    <w:rsid w:val="00BA5D93"/>
    <w:pPr>
      <w:numPr>
        <w:ilvl w:val="8"/>
        <w:numId w:val="2"/>
      </w:numPr>
      <w:spacing w:after="60" w:before="240"/>
      <w:outlineLvl w:val="8"/>
    </w:pPr>
    <w:rPr>
      <w:b w:val="1"/>
      <w:i w:val="1"/>
      <w:sz w:val="1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qFormat w:val="1"/>
    <w:rsid w:val="00BA5D93"/>
    <w:pPr>
      <w:jc w:val="center"/>
    </w:pPr>
    <w:rPr>
      <w:b w:val="1"/>
      <w:sz w:val="28"/>
      <w:lang w:val="fr-BE"/>
    </w:rPr>
  </w:style>
  <w:style w:type="paragraph" w:styleId="Subtitle">
    <w:name w:val="Subtitle"/>
    <w:basedOn w:val="Normal"/>
    <w:qFormat w:val="1"/>
    <w:rsid w:val="00BA5D93"/>
    <w:pPr>
      <w:jc w:val="center"/>
    </w:pPr>
    <w:rPr>
      <w:b w:val="1"/>
      <w:sz w:val="28"/>
      <w:lang w:val="fr-BE"/>
    </w:rPr>
  </w:style>
  <w:style w:type="paragraph" w:styleId="BodyTextIndent">
    <w:name w:val="Body Text Indent"/>
    <w:basedOn w:val="Normal"/>
    <w:rsid w:val="00BA5D93"/>
    <w:pPr>
      <w:tabs>
        <w:tab w:val="num" w:pos="567"/>
      </w:tabs>
      <w:spacing w:after="0" w:before="0"/>
      <w:jc w:val="both"/>
    </w:pPr>
    <w:rPr>
      <w:rFonts w:ascii="Times New Roman" w:hAnsi="Times New Roman"/>
      <w:sz w:val="24"/>
    </w:rPr>
  </w:style>
  <w:style w:type="paragraph" w:styleId="BodyText">
    <w:name w:val="Body Text"/>
    <w:basedOn w:val="Normal"/>
    <w:rsid w:val="00BA5D93"/>
  </w:style>
  <w:style w:type="paragraph" w:styleId="BodyTextIndent2">
    <w:name w:val="Body Text Indent 2"/>
    <w:basedOn w:val="Normal"/>
    <w:rsid w:val="00BA5D93"/>
    <w:pPr>
      <w:tabs>
        <w:tab w:val="num" w:pos="567"/>
        <w:tab w:val="num" w:pos="2160"/>
      </w:tabs>
      <w:spacing w:after="240"/>
      <w:ind w:left="567" w:hanging="567"/>
      <w:jc w:val="both"/>
    </w:pPr>
    <w:rPr>
      <w:sz w:val="24"/>
      <w:u w:val="single"/>
    </w:rPr>
  </w:style>
  <w:style w:type="paragraph" w:styleId="BodyTextIndent3">
    <w:name w:val="Body Text Indent 3"/>
    <w:basedOn w:val="Normal"/>
    <w:rsid w:val="00BA5D93"/>
    <w:pPr>
      <w:tabs>
        <w:tab w:val="left" w:pos="1276"/>
      </w:tabs>
      <w:ind w:left="1276" w:hanging="425"/>
      <w:jc w:val="both"/>
    </w:pPr>
    <w:rPr>
      <w:sz w:val="24"/>
    </w:rPr>
  </w:style>
  <w:style w:type="paragraph" w:styleId="Text3" w:customStyle="1">
    <w:name w:val="Text 3"/>
    <w:basedOn w:val="Normal"/>
    <w:rsid w:val="00BA5D93"/>
    <w:pPr>
      <w:tabs>
        <w:tab w:val="left" w:pos="2302"/>
      </w:tabs>
      <w:spacing w:after="240"/>
      <w:ind w:left="1202"/>
      <w:jc w:val="both"/>
    </w:pPr>
    <w:rPr>
      <w:sz w:val="24"/>
      <w:lang w:val="en-GB"/>
    </w:rPr>
  </w:style>
  <w:style w:type="paragraph" w:styleId="Header">
    <w:name w:val="header"/>
    <w:basedOn w:val="Normal"/>
    <w:rsid w:val="00BA5D93"/>
    <w:pPr>
      <w:tabs>
        <w:tab w:val="center" w:pos="4320"/>
        <w:tab w:val="right" w:pos="8640"/>
      </w:tabs>
    </w:pPr>
  </w:style>
  <w:style w:type="paragraph" w:styleId="Footer">
    <w:name w:val="footer"/>
    <w:basedOn w:val="Normal"/>
    <w:rsid w:val="00BA5D93"/>
    <w:pPr>
      <w:tabs>
        <w:tab w:val="center" w:pos="4320"/>
        <w:tab w:val="right" w:pos="8640"/>
      </w:tabs>
    </w:pPr>
  </w:style>
  <w:style w:type="character" w:styleId="PageNumber">
    <w:name w:val="page number"/>
    <w:basedOn w:val="DefaultParagraphFont"/>
    <w:rsid w:val="00BA5D93"/>
  </w:style>
  <w:style w:type="paragraph" w:styleId="BodyText3">
    <w:name w:val="Body Text 3"/>
    <w:basedOn w:val="Normal"/>
    <w:rsid w:val="00BA5D9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val="1"/>
      <w:spacing w:line="240" w:lineRule="exact"/>
      <w:jc w:val="both"/>
    </w:pPr>
    <w:rPr>
      <w:b w:val="1"/>
      <w:sz w:val="24"/>
      <w:lang w:val="en-GB"/>
    </w:rPr>
  </w:style>
  <w:style w:type="character" w:styleId="Hyperlink">
    <w:name w:val="Hyperlink"/>
    <w:rsid w:val="00BA5D93"/>
    <w:rPr>
      <w:color w:val="0000ff"/>
      <w:u w:val="single"/>
    </w:rPr>
  </w:style>
  <w:style w:type="paragraph" w:styleId="FootnoteText">
    <w:name w:val="footnote text"/>
    <w:basedOn w:val="Normal"/>
    <w:semiHidden w:val="1"/>
    <w:rsid w:val="00BA5D93"/>
    <w:rPr>
      <w:lang w:val="fr-FR"/>
    </w:rPr>
  </w:style>
  <w:style w:type="character" w:styleId="FootnoteReference">
    <w:name w:val="footnote reference"/>
    <w:semiHidden w:val="1"/>
    <w:rsid w:val="00BA5D93"/>
    <w:rPr>
      <w:vertAlign w:val="superscript"/>
    </w:rPr>
  </w:style>
  <w:style w:type="paragraph" w:styleId="DocumentMap">
    <w:name w:val="Document Map"/>
    <w:basedOn w:val="Normal"/>
    <w:semiHidden w:val="1"/>
    <w:rsid w:val="00BA5D93"/>
    <w:pPr>
      <w:shd w:color="auto" w:fill="000080" w:val="clear"/>
    </w:pPr>
    <w:rPr>
      <w:sz w:val="24"/>
      <w:lang w:val="fr-FR"/>
    </w:rPr>
  </w:style>
  <w:style w:type="paragraph" w:styleId="bulletsub" w:customStyle="1">
    <w:name w:val="bullet_sub"/>
    <w:basedOn w:val="Normal"/>
    <w:rsid w:val="00BA5D9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styleId="SubTitle1" w:customStyle="1">
    <w:name w:val="SubTitle 1"/>
    <w:basedOn w:val="Normal"/>
    <w:next w:val="SubTitle2"/>
    <w:rsid w:val="00BA5D93"/>
    <w:pPr>
      <w:spacing w:after="240"/>
      <w:jc w:val="center"/>
    </w:pPr>
    <w:rPr>
      <w:b w:val="1"/>
      <w:sz w:val="40"/>
      <w:lang w:val="en-GB"/>
    </w:rPr>
  </w:style>
  <w:style w:type="paragraph" w:styleId="SubTitle2" w:customStyle="1">
    <w:name w:val="SubTitle 2"/>
    <w:basedOn w:val="Normal"/>
    <w:rsid w:val="00BA5D93"/>
    <w:pPr>
      <w:spacing w:after="240"/>
      <w:jc w:val="center"/>
    </w:pPr>
    <w:rPr>
      <w:b w:val="1"/>
      <w:sz w:val="32"/>
      <w:lang w:val="en-GB"/>
    </w:rPr>
  </w:style>
  <w:style w:type="paragraph" w:styleId="Annexetitle" w:customStyle="1">
    <w:name w:val="Annexe_title"/>
    <w:basedOn w:val="Heading1"/>
    <w:next w:val="Normal"/>
    <w:autoRedefine w:val="1"/>
    <w:rsid w:val="00BA5D93"/>
    <w:pPr>
      <w:keepNext w:val="0"/>
      <w:pageBreakBefore w:val="1"/>
      <w:numPr>
        <w:numId w:val="0"/>
      </w:numPr>
      <w:tabs>
        <w:tab w:val="left" w:pos="567"/>
        <w:tab w:val="left" w:pos="2552"/>
        <w:tab w:val="left" w:pos="7938"/>
        <w:tab w:val="left" w:pos="9072"/>
      </w:tabs>
      <w:spacing w:after="0" w:before="0"/>
      <w:jc w:val="left"/>
      <w:outlineLvl w:val="9"/>
    </w:pPr>
    <w:rPr>
      <w:caps w:val="1"/>
      <w:sz w:val="28"/>
      <w:lang w:val="en-GB"/>
    </w:rPr>
  </w:style>
  <w:style w:type="paragraph" w:styleId="Style1" w:customStyle="1">
    <w:name w:val="Style1"/>
    <w:basedOn w:val="Normal"/>
    <w:rsid w:val="00BA5D93"/>
    <w:pPr>
      <w:keepNext w:val="1"/>
      <w:widowControl w:val="0"/>
      <w:tabs>
        <w:tab w:val="num" w:pos="992"/>
      </w:tabs>
      <w:ind w:left="992" w:hanging="992"/>
    </w:pPr>
    <w:rPr>
      <w:b w:val="1"/>
      <w:sz w:val="18"/>
      <w:lang w:val="fr-FR"/>
    </w:rPr>
  </w:style>
  <w:style w:type="paragraph" w:styleId="titlefront" w:customStyle="1">
    <w:name w:val="title_front"/>
    <w:basedOn w:val="Normal"/>
    <w:rsid w:val="00BA5D93"/>
    <w:pPr>
      <w:spacing w:before="240"/>
      <w:ind w:left="1701"/>
      <w:jc w:val="right"/>
    </w:pPr>
    <w:rPr>
      <w:rFonts w:ascii="Optima" w:hAnsi="Optima"/>
      <w:b w:val="1"/>
      <w:sz w:val="28"/>
      <w:lang w:val="en-GB"/>
    </w:rPr>
  </w:style>
  <w:style w:type="paragraph" w:styleId="TOC1">
    <w:name w:val="toc 1"/>
    <w:basedOn w:val="Normal"/>
    <w:next w:val="Normal"/>
    <w:autoRedefine w:val="1"/>
    <w:semiHidden w:val="1"/>
    <w:rsid w:val="00BA5D93"/>
    <w:pPr>
      <w:tabs>
        <w:tab w:val="left" w:pos="567"/>
        <w:tab w:val="left" w:pos="600"/>
        <w:tab w:val="left" w:pos="851"/>
        <w:tab w:val="left" w:pos="1200"/>
        <w:tab w:val="left" w:pos="1418"/>
        <w:tab w:val="left" w:pos="1985"/>
        <w:tab w:val="right" w:leader="dot" w:pos="8777"/>
      </w:tabs>
      <w:spacing w:after="60" w:before="60"/>
      <w:ind w:left="567" w:hanging="567"/>
    </w:pPr>
    <w:rPr>
      <w:b w:val="1"/>
      <w:i w:val="1"/>
      <w:caps w:val="1"/>
      <w:noProof w:val="1"/>
    </w:rPr>
  </w:style>
  <w:style w:type="paragraph" w:styleId="TOC2">
    <w:name w:val="toc 2"/>
    <w:basedOn w:val="Normal"/>
    <w:next w:val="Normal"/>
    <w:autoRedefine w:val="1"/>
    <w:semiHidden w:val="1"/>
    <w:rsid w:val="00BA5D93"/>
    <w:pPr>
      <w:spacing w:after="0" w:before="0"/>
      <w:ind w:left="200"/>
    </w:pPr>
    <w:rPr>
      <w:rFonts w:ascii="Times New Roman" w:hAnsi="Times New Roman"/>
      <w:smallCaps w:val="1"/>
    </w:rPr>
  </w:style>
  <w:style w:type="character" w:styleId="Strong">
    <w:name w:val="Strong"/>
    <w:qFormat w:val="1"/>
    <w:rsid w:val="00BA5D93"/>
    <w:rPr>
      <w:b w:val="1"/>
    </w:rPr>
  </w:style>
  <w:style w:type="paragraph" w:styleId="Blockquote" w:customStyle="1">
    <w:name w:val="Blockquote"/>
    <w:basedOn w:val="Normal"/>
    <w:rsid w:val="00BA5D93"/>
    <w:pPr>
      <w:widowControl w:val="0"/>
      <w:spacing w:after="100" w:before="100"/>
      <w:ind w:left="360" w:right="360"/>
    </w:pPr>
    <w:rPr>
      <w:sz w:val="24"/>
      <w:lang w:val="en-US"/>
    </w:rPr>
  </w:style>
  <w:style w:type="paragraph" w:styleId="TOC3">
    <w:name w:val="toc 3"/>
    <w:basedOn w:val="Normal"/>
    <w:next w:val="Normal"/>
    <w:autoRedefine w:val="1"/>
    <w:semiHidden w:val="1"/>
    <w:rsid w:val="00BA5D93"/>
    <w:pPr>
      <w:spacing w:after="0" w:before="0"/>
      <w:ind w:left="400"/>
    </w:pPr>
    <w:rPr>
      <w:rFonts w:ascii="Times New Roman" w:hAnsi="Times New Roman"/>
      <w:i w:val="1"/>
    </w:rPr>
  </w:style>
  <w:style w:type="paragraph" w:styleId="TOC4">
    <w:name w:val="toc 4"/>
    <w:basedOn w:val="Normal"/>
    <w:next w:val="Normal"/>
    <w:autoRedefine w:val="1"/>
    <w:semiHidden w:val="1"/>
    <w:rsid w:val="00BA5D93"/>
    <w:pPr>
      <w:spacing w:after="0" w:before="0"/>
      <w:ind w:left="600"/>
    </w:pPr>
    <w:rPr>
      <w:rFonts w:ascii="Times New Roman" w:hAnsi="Times New Roman"/>
      <w:sz w:val="18"/>
    </w:rPr>
  </w:style>
  <w:style w:type="paragraph" w:styleId="TOC5">
    <w:name w:val="toc 5"/>
    <w:basedOn w:val="Normal"/>
    <w:next w:val="Normal"/>
    <w:autoRedefine w:val="1"/>
    <w:semiHidden w:val="1"/>
    <w:rsid w:val="00BA5D93"/>
    <w:pPr>
      <w:spacing w:after="0" w:before="0"/>
      <w:ind w:left="800"/>
    </w:pPr>
    <w:rPr>
      <w:rFonts w:ascii="Times New Roman" w:hAnsi="Times New Roman"/>
      <w:sz w:val="18"/>
    </w:rPr>
  </w:style>
  <w:style w:type="paragraph" w:styleId="TOC6">
    <w:name w:val="toc 6"/>
    <w:basedOn w:val="Normal"/>
    <w:next w:val="Normal"/>
    <w:autoRedefine w:val="1"/>
    <w:semiHidden w:val="1"/>
    <w:rsid w:val="00BA5D93"/>
    <w:pPr>
      <w:spacing w:after="0" w:before="0"/>
      <w:ind w:left="1000"/>
    </w:pPr>
    <w:rPr>
      <w:rFonts w:ascii="Times New Roman" w:hAnsi="Times New Roman"/>
      <w:sz w:val="18"/>
    </w:rPr>
  </w:style>
  <w:style w:type="paragraph" w:styleId="TOC7">
    <w:name w:val="toc 7"/>
    <w:basedOn w:val="Normal"/>
    <w:next w:val="Normal"/>
    <w:autoRedefine w:val="1"/>
    <w:semiHidden w:val="1"/>
    <w:rsid w:val="00BA5D93"/>
    <w:pPr>
      <w:spacing w:after="0" w:before="0"/>
      <w:ind w:left="1200"/>
    </w:pPr>
    <w:rPr>
      <w:rFonts w:ascii="Times New Roman" w:hAnsi="Times New Roman"/>
      <w:sz w:val="18"/>
    </w:rPr>
  </w:style>
  <w:style w:type="paragraph" w:styleId="TOC8">
    <w:name w:val="toc 8"/>
    <w:basedOn w:val="Normal"/>
    <w:next w:val="Normal"/>
    <w:autoRedefine w:val="1"/>
    <w:semiHidden w:val="1"/>
    <w:rsid w:val="00BA5D93"/>
    <w:pPr>
      <w:spacing w:after="0" w:before="0"/>
      <w:ind w:left="1400"/>
    </w:pPr>
    <w:rPr>
      <w:rFonts w:ascii="Times New Roman" w:hAnsi="Times New Roman"/>
      <w:sz w:val="18"/>
    </w:rPr>
  </w:style>
  <w:style w:type="paragraph" w:styleId="TOC9">
    <w:name w:val="toc 9"/>
    <w:basedOn w:val="Normal"/>
    <w:next w:val="Normal"/>
    <w:autoRedefine w:val="1"/>
    <w:semiHidden w:val="1"/>
    <w:rsid w:val="00BA5D93"/>
    <w:pPr>
      <w:spacing w:after="0" w:before="0"/>
      <w:ind w:left="1600"/>
    </w:pPr>
    <w:rPr>
      <w:rFonts w:ascii="Times New Roman" w:hAnsi="Times New Roman"/>
      <w:sz w:val="18"/>
    </w:rPr>
  </w:style>
  <w:style w:type="character" w:styleId="FollowedHyperlink">
    <w:name w:val="FollowedHyperlink"/>
    <w:rsid w:val="00BA5D93"/>
    <w:rPr>
      <w:color w:val="800080"/>
      <w:u w:val="single"/>
    </w:rPr>
  </w:style>
  <w:style w:type="paragraph" w:styleId="Style2" w:customStyle="1">
    <w:name w:val="Style2"/>
    <w:basedOn w:val="Style1"/>
    <w:rsid w:val="00BA5D93"/>
    <w:pPr>
      <w:tabs>
        <w:tab w:val="clear" w:pos="992"/>
        <w:tab w:val="num" w:pos="2091"/>
      </w:tabs>
      <w:ind w:left="2977"/>
      <w:jc w:val="both"/>
    </w:pPr>
  </w:style>
  <w:style w:type="paragraph" w:styleId="text" w:customStyle="1">
    <w:name w:val="text"/>
    <w:rsid w:val="00BA5D93"/>
    <w:pPr>
      <w:widowControl w:val="0"/>
      <w:spacing w:before="240" w:line="240" w:lineRule="exact"/>
      <w:jc w:val="both"/>
    </w:pPr>
    <w:rPr>
      <w:rFonts w:ascii="Arial" w:hAnsi="Arial"/>
      <w:snapToGrid w:val="0"/>
      <w:sz w:val="24"/>
      <w:lang w:val="cs-CZ"/>
    </w:rPr>
  </w:style>
  <w:style w:type="paragraph" w:styleId="Section" w:customStyle="1">
    <w:name w:val="Section"/>
    <w:basedOn w:val="Normal"/>
    <w:rsid w:val="00BA5D93"/>
    <w:pPr>
      <w:widowControl w:val="0"/>
      <w:spacing w:after="0" w:before="0" w:line="360" w:lineRule="exact"/>
      <w:jc w:val="center"/>
    </w:pPr>
    <w:rPr>
      <w:b w:val="1"/>
      <w:sz w:val="32"/>
      <w:lang w:val="cs-CZ"/>
    </w:rPr>
  </w:style>
  <w:style w:type="paragraph" w:styleId="ManualNumPar1" w:customStyle="1">
    <w:name w:val="Manual NumPar 1"/>
    <w:basedOn w:val="Normal"/>
    <w:next w:val="Normal"/>
    <w:rsid w:val="00BA5D93"/>
    <w:pPr>
      <w:ind w:left="851" w:hanging="851"/>
      <w:jc w:val="both"/>
    </w:pPr>
    <w:rPr>
      <w:rFonts w:ascii="Times New Roman" w:hAnsi="Times New Roman"/>
      <w:sz w:val="24"/>
      <w:lang w:val="fr-FR"/>
    </w:rPr>
  </w:style>
  <w:style w:type="table" w:styleId="TableGrid">
    <w:name w:val="Table Grid"/>
    <w:basedOn w:val="TableNormal"/>
    <w:rsid w:val="00F90A9F"/>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odyText2">
    <w:name w:val="Body Text 2"/>
    <w:basedOn w:val="Normal"/>
    <w:rsid w:val="00AE7D13"/>
    <w:pPr>
      <w:tabs>
        <w:tab w:val="num" w:pos="567"/>
      </w:tabs>
      <w:spacing w:after="0" w:before="0"/>
      <w:jc w:val="both"/>
    </w:pPr>
    <w:rPr>
      <w:rFonts w:ascii="Times New Roman" w:hAnsi="Times New Roman"/>
      <w:snapToGrid w:val="1"/>
      <w:sz w:val="24"/>
      <w:lang w:eastAsia="en-GB"/>
    </w:rPr>
  </w:style>
  <w:style w:type="paragraph" w:styleId="oddl-nadpis" w:customStyle="1">
    <w:name w:val="oddíl-nadpis"/>
    <w:basedOn w:val="Normal"/>
    <w:rsid w:val="000417E2"/>
    <w:pPr>
      <w:keepNext w:val="1"/>
      <w:widowControl w:val="0"/>
      <w:tabs>
        <w:tab w:val="left" w:pos="567"/>
      </w:tabs>
      <w:spacing w:after="0" w:before="240" w:line="240" w:lineRule="exact"/>
    </w:pPr>
    <w:rPr>
      <w:b w:val="1"/>
      <w:sz w:val="24"/>
      <w:lang w:val="cs-CZ"/>
    </w:rPr>
  </w:style>
  <w:style w:type="paragraph" w:styleId="BalloonText">
    <w:name w:val="Balloon Text"/>
    <w:basedOn w:val="Normal"/>
    <w:semiHidden w:val="1"/>
    <w:rsid w:val="00B25580"/>
    <w:rPr>
      <w:rFonts w:ascii="Tahoma" w:cs="Tahoma" w:hAnsi="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styleId="CommentTextChar" w:customStyle="1">
    <w:name w:val="Comment Text Char"/>
    <w:link w:val="CommentText"/>
    <w:rsid w:val="00CF7AAC"/>
    <w:rPr>
      <w:rFonts w:ascii="Arial" w:hAnsi="Arial"/>
      <w:snapToGrid w:val="0"/>
      <w:lang w:eastAsia="en-US" w:val="sv-SE"/>
    </w:rPr>
  </w:style>
  <w:style w:type="paragraph" w:styleId="CommentSubject">
    <w:name w:val="annotation subject"/>
    <w:basedOn w:val="CommentText"/>
    <w:next w:val="CommentText"/>
    <w:link w:val="CommentSubjectChar"/>
    <w:rsid w:val="00CF7AAC"/>
    <w:rPr>
      <w:b w:val="1"/>
      <w:bCs w:val="1"/>
    </w:rPr>
  </w:style>
  <w:style w:type="character" w:styleId="CommentSubjectChar" w:customStyle="1">
    <w:name w:val="Comment Subject Char"/>
    <w:link w:val="CommentSubject"/>
    <w:rsid w:val="00CF7AAC"/>
    <w:rPr>
      <w:rFonts w:ascii="Arial" w:hAnsi="Arial"/>
      <w:b w:val="1"/>
      <w:bCs w:val="1"/>
      <w:snapToGrid w:val="0"/>
      <w:lang w:eastAsia="en-US" w:val="sv-SE"/>
    </w:rPr>
  </w:style>
  <w:style w:type="paragraph" w:styleId="Default" w:customStyle="1">
    <w:name w:val="Default"/>
    <w:rsid w:val="00A520A3"/>
    <w:pPr>
      <w:autoSpaceDE w:val="0"/>
      <w:autoSpaceDN w:val="0"/>
      <w:adjustRightInd w:val="0"/>
    </w:pPr>
    <w:rPr>
      <w:color w:val="000000"/>
      <w:sz w:val="24"/>
      <w:szCs w:val="24"/>
    </w:rPr>
  </w:style>
  <w:style w:type="paragraph" w:styleId="Subtitle">
    <w:name w:val="Subtitle"/>
    <w:basedOn w:val="Normal"/>
    <w:next w:val="Normal"/>
    <w:pPr>
      <w:jc w:val="center"/>
    </w:pPr>
    <w:rPr>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2hxZYhnuwLfeuxGVfi38hW27Neg==">AMUW2mVv3Au9l0l/b3dWrIeA9u8dvGy3nqvVC5K1ItNHV0mX74eCAh8uJhNWOPdtmTDSDRciWaYsdck4hdfmmAC8pyUNYLlbCcYLXcdD7DV083noPczUc2VZT1MhLQjz4E4/4Pcl3wKA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2018-12-18T11:40:00Z</dcterms:created>
  <dc:creator>ENGSTROM</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